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ality"/>
    <w:p>
      <w:pPr>
        <w:pStyle w:val="Heading2"/>
      </w:pPr>
      <w:r>
        <w:t xml:space="preserve">2.3 Equality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These numbers, which are reported in various NOAA Fisheries databases, and averaged for 2016–2020 and combined into a single value representing engagement. A high rank indicates more engagement and more reliance. Commercial fishing reliance measures the presence of commercial fishing in relation to the population size of a community through fishing activity. Census data are based on municipality or sub-district, also for 2016–2020.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data are reported by landing site. However in the USVI, individuals may live in locations that are not adjacent to their landing sites, and the landings and dealer activity are tied to their home address; thus the indicator represents not where the fishing activity is taking place, but rather the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third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for the U.S. Caribbean region as measured by modeled surface aragonite saturation state.</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2020 in USVI; data in Puerto Rico are limited but also suggest an increasing trend</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 </w:t>
      </w:r>
      <w:r>
        <w:t xml:space="preserve">(Hu et al. 2016)</w:t>
      </w:r>
      <w:r>
        <w:t xml:space="preserve">. Mean monthly Sargassum wet biomass is estimated from satellite measurements using the algorithm of Wang et al.</w:t>
      </w:r>
      <w:r>
        <w:t xml:space="preserve"> </w:t>
      </w:r>
      <w:r>
        <w:t xml:space="preserve">(Mengqiu 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(top) and air (bottom)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2025-03-28T15:57:31Z</dcterms:created>
  <dcterms:modified xsi:type="dcterms:W3CDTF">2025-03-28T15:57:31Z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2025-03-28</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